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B851" w14:textId="77777777" w:rsidR="00DF0A8A" w:rsidRPr="00B22BD6" w:rsidRDefault="00DF0A8A">
      <w:pPr>
        <w:rPr>
          <w:rFonts w:ascii="Arial" w:hAnsi="Arial" w:cs="Arial"/>
        </w:rPr>
      </w:pPr>
    </w:p>
    <w:p w14:paraId="391ACDEC" w14:textId="77777777" w:rsidR="00B22BD6" w:rsidRDefault="00B22BD6" w:rsidP="00B22BD6">
      <w:pPr>
        <w:pStyle w:val="Header"/>
        <w:rPr>
          <w:b/>
          <w:sz w:val="28"/>
          <w:szCs w:val="28"/>
        </w:rPr>
      </w:pPr>
    </w:p>
    <w:p w14:paraId="545AB00C" w14:textId="77777777" w:rsidR="00B22BD6" w:rsidRPr="00837FD6" w:rsidRDefault="00B22BD6" w:rsidP="00B22BD6">
      <w:pPr>
        <w:pStyle w:val="Header"/>
        <w:rPr>
          <w:b/>
          <w:sz w:val="48"/>
          <w:szCs w:val="48"/>
        </w:rPr>
      </w:pPr>
      <w:r w:rsidRPr="00837FD6">
        <w:rPr>
          <w:b/>
          <w:sz w:val="48"/>
          <w:szCs w:val="48"/>
        </w:rPr>
        <w:t xml:space="preserve">Whistle Blowing </w:t>
      </w:r>
    </w:p>
    <w:p w14:paraId="3620A9FB" w14:textId="77777777" w:rsidR="00B22BD6" w:rsidRPr="006249E0" w:rsidRDefault="00B22BD6" w:rsidP="00B22BD6">
      <w:pPr>
        <w:pStyle w:val="Header"/>
        <w:rPr>
          <w:sz w:val="24"/>
          <w:szCs w:val="24"/>
        </w:rPr>
      </w:pPr>
    </w:p>
    <w:p w14:paraId="1E25D20F" w14:textId="77777777" w:rsidR="006249E0" w:rsidRDefault="00C1594B" w:rsidP="00B22BD6">
      <w:pPr>
        <w:pStyle w:val="Header"/>
        <w:rPr>
          <w:sz w:val="24"/>
          <w:szCs w:val="24"/>
        </w:rPr>
      </w:pPr>
      <w:r>
        <w:rPr>
          <w:sz w:val="24"/>
          <w:szCs w:val="24"/>
        </w:rPr>
        <w:t>Jenny Wren Nursery</w:t>
      </w:r>
      <w:r w:rsidR="006249E0" w:rsidRPr="006249E0">
        <w:rPr>
          <w:sz w:val="24"/>
          <w:szCs w:val="24"/>
        </w:rPr>
        <w:t xml:space="preserve"> wishes to maintain a high standard of care and in doing so encourages employees to raise concerns about possible malpractice.  We support employees when whistle blowing in good faith.</w:t>
      </w:r>
    </w:p>
    <w:p w14:paraId="698D3D54" w14:textId="77777777" w:rsidR="00B20974" w:rsidRDefault="00B20974" w:rsidP="00B22BD6">
      <w:pPr>
        <w:pStyle w:val="Header"/>
        <w:rPr>
          <w:sz w:val="24"/>
          <w:szCs w:val="24"/>
        </w:rPr>
      </w:pPr>
    </w:p>
    <w:p w14:paraId="21EC1D4D" w14:textId="77777777" w:rsidR="00B20974" w:rsidRPr="003B7660" w:rsidRDefault="00B20974" w:rsidP="00B20974">
      <w:pPr>
        <w:jc w:val="center"/>
        <w:rPr>
          <w:rFonts w:eastAsia="Malgun Gothic Semilight" w:cstheme="minorHAnsi"/>
          <w:b/>
          <w:lang w:eastAsia="en-GB"/>
        </w:rPr>
      </w:pPr>
      <w:r w:rsidRPr="003B7660">
        <w:rPr>
          <w:rFonts w:eastAsia="Malgun Gothic Semilight" w:cstheme="minorHAnsi"/>
          <w:b/>
          <w:lang w:eastAsia="en-GB"/>
        </w:rPr>
        <w:t>Isobel Rouse - Designated Safeguarding Lead</w:t>
      </w:r>
    </w:p>
    <w:p w14:paraId="7A2CD5A8" w14:textId="77777777" w:rsidR="00B20974" w:rsidRPr="003B7660" w:rsidRDefault="00B20974" w:rsidP="00B20974">
      <w:pPr>
        <w:jc w:val="center"/>
        <w:rPr>
          <w:rFonts w:eastAsia="Malgun Gothic Semilight" w:cstheme="minorHAnsi"/>
          <w:b/>
          <w:lang w:eastAsia="en-GB"/>
        </w:rPr>
      </w:pPr>
      <w:r w:rsidRPr="003B7660">
        <w:rPr>
          <w:rFonts w:eastAsia="Malgun Gothic Semilight" w:cstheme="minorHAnsi"/>
          <w:b/>
          <w:lang w:eastAsia="en-GB"/>
        </w:rPr>
        <w:t>Katy Elliott - Deputy Safeguarding Lead</w:t>
      </w:r>
    </w:p>
    <w:p w14:paraId="250D8133" w14:textId="77777777" w:rsidR="00B20974" w:rsidRPr="003B7660" w:rsidRDefault="00B20974" w:rsidP="00B20974">
      <w:pPr>
        <w:jc w:val="center"/>
        <w:rPr>
          <w:rFonts w:eastAsia="Malgun Gothic Semilight" w:cstheme="minorHAnsi"/>
          <w:b/>
          <w:lang w:eastAsia="en-GB"/>
        </w:rPr>
      </w:pPr>
      <w:r w:rsidRPr="003B7660">
        <w:rPr>
          <w:rFonts w:eastAsia="Malgun Gothic Semilight" w:cstheme="minorHAnsi"/>
          <w:b/>
          <w:lang w:eastAsia="en-GB"/>
        </w:rPr>
        <w:t>(All of the above staff are completed the Designated Safeguarding Lead training)</w:t>
      </w:r>
    </w:p>
    <w:p w14:paraId="64DA333A" w14:textId="77777777" w:rsidR="00B20974" w:rsidRPr="006249E0" w:rsidRDefault="00B20974" w:rsidP="00B22BD6">
      <w:pPr>
        <w:pStyle w:val="Header"/>
        <w:rPr>
          <w:sz w:val="24"/>
          <w:szCs w:val="24"/>
        </w:rPr>
      </w:pPr>
    </w:p>
    <w:p w14:paraId="2BF8550E" w14:textId="77777777" w:rsidR="006249E0" w:rsidRDefault="006249E0" w:rsidP="00B22BD6">
      <w:pPr>
        <w:pStyle w:val="Header"/>
        <w:rPr>
          <w:sz w:val="24"/>
          <w:szCs w:val="24"/>
        </w:rPr>
      </w:pPr>
    </w:p>
    <w:p w14:paraId="70E3B820" w14:textId="77777777" w:rsidR="006249E0" w:rsidRDefault="006249E0" w:rsidP="00B22BD6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>What we consider whistle blowing to be</w:t>
      </w:r>
    </w:p>
    <w:p w14:paraId="6B1B8CBF" w14:textId="77777777" w:rsidR="006249E0" w:rsidRDefault="006249E0" w:rsidP="00B22BD6">
      <w:pPr>
        <w:pStyle w:val="Header"/>
        <w:rPr>
          <w:b/>
          <w:sz w:val="24"/>
          <w:szCs w:val="24"/>
        </w:rPr>
      </w:pPr>
    </w:p>
    <w:p w14:paraId="1AF37599" w14:textId="77777777" w:rsidR="006249E0" w:rsidRDefault="006249E0" w:rsidP="00B22BD6">
      <w:pPr>
        <w:pStyle w:val="Header"/>
        <w:rPr>
          <w:sz w:val="24"/>
          <w:szCs w:val="24"/>
        </w:rPr>
      </w:pPr>
      <w:r w:rsidRPr="006249E0">
        <w:rPr>
          <w:sz w:val="24"/>
          <w:szCs w:val="24"/>
        </w:rPr>
        <w:t xml:space="preserve">We consider ‘Whistle blowing’ to be the act of an employee raising a concern they have when their information shows malpractice within the </w:t>
      </w:r>
      <w:r w:rsidR="00C1594B">
        <w:rPr>
          <w:sz w:val="24"/>
          <w:szCs w:val="24"/>
        </w:rPr>
        <w:t>nursery.</w:t>
      </w:r>
      <w:r w:rsidR="00700C47">
        <w:rPr>
          <w:sz w:val="24"/>
          <w:szCs w:val="24"/>
        </w:rPr>
        <w:t xml:space="preserve">  </w:t>
      </w:r>
      <w:r w:rsidRPr="006249E0">
        <w:rPr>
          <w:sz w:val="24"/>
          <w:szCs w:val="24"/>
        </w:rPr>
        <w:t>Examples may include:</w:t>
      </w:r>
    </w:p>
    <w:p w14:paraId="08F32BF4" w14:textId="77777777" w:rsidR="006249E0" w:rsidRDefault="006249E0" w:rsidP="006249E0">
      <w:pPr>
        <w:pStyle w:val="Head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Breach of legal obligation.</w:t>
      </w:r>
    </w:p>
    <w:p w14:paraId="73E9DA0C" w14:textId="77777777" w:rsidR="006249E0" w:rsidRDefault="006249E0" w:rsidP="006249E0">
      <w:pPr>
        <w:pStyle w:val="Head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Criminal offence.</w:t>
      </w:r>
    </w:p>
    <w:p w14:paraId="6D5EF737" w14:textId="77777777" w:rsidR="006249E0" w:rsidRDefault="006249E0" w:rsidP="006249E0">
      <w:pPr>
        <w:pStyle w:val="Head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Breach of safeguarding and children’s welfare.</w:t>
      </w:r>
    </w:p>
    <w:p w14:paraId="6F3EF8BB" w14:textId="77777777" w:rsidR="00C71666" w:rsidRDefault="00C71666" w:rsidP="006249E0">
      <w:pPr>
        <w:pStyle w:val="Head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Breach of health and safety.</w:t>
      </w:r>
    </w:p>
    <w:p w14:paraId="5DD91298" w14:textId="77777777" w:rsidR="00C71666" w:rsidRDefault="00C71666" w:rsidP="006249E0">
      <w:pPr>
        <w:pStyle w:val="Head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Damage to the environment in which they work.</w:t>
      </w:r>
    </w:p>
    <w:p w14:paraId="6BAB4A60" w14:textId="77777777" w:rsidR="00C71666" w:rsidRDefault="00C71666" w:rsidP="006249E0">
      <w:pPr>
        <w:pStyle w:val="Head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Miscarriage of justice.</w:t>
      </w:r>
    </w:p>
    <w:p w14:paraId="25513A11" w14:textId="77777777" w:rsidR="00C71666" w:rsidRDefault="00C71666" w:rsidP="006249E0">
      <w:pPr>
        <w:pStyle w:val="Head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Discrimination </w:t>
      </w:r>
      <w:r w:rsidR="0035541D">
        <w:rPr>
          <w:sz w:val="24"/>
          <w:szCs w:val="24"/>
        </w:rPr>
        <w:t>e.g.</w:t>
      </w:r>
      <w:r>
        <w:rPr>
          <w:sz w:val="24"/>
          <w:szCs w:val="24"/>
        </w:rPr>
        <w:t xml:space="preserve"> based on disability or concealing information.</w:t>
      </w:r>
    </w:p>
    <w:p w14:paraId="382D54F3" w14:textId="77777777" w:rsidR="00C71666" w:rsidRDefault="00C71666" w:rsidP="00C71666">
      <w:pPr>
        <w:pStyle w:val="Header"/>
        <w:rPr>
          <w:sz w:val="24"/>
          <w:szCs w:val="24"/>
        </w:rPr>
      </w:pPr>
    </w:p>
    <w:p w14:paraId="3E20BFA6" w14:textId="77777777" w:rsidR="00C71666" w:rsidRDefault="00C71666" w:rsidP="00C71666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Whistle blowing at </w:t>
      </w:r>
      <w:r w:rsidR="00C1594B">
        <w:rPr>
          <w:b/>
          <w:sz w:val="24"/>
          <w:szCs w:val="24"/>
        </w:rPr>
        <w:t>nursery</w:t>
      </w:r>
    </w:p>
    <w:p w14:paraId="09652730" w14:textId="77777777" w:rsidR="00C71666" w:rsidRDefault="00C71666" w:rsidP="00C71666">
      <w:pPr>
        <w:pStyle w:val="Header"/>
        <w:rPr>
          <w:b/>
          <w:sz w:val="24"/>
          <w:szCs w:val="24"/>
        </w:rPr>
      </w:pPr>
    </w:p>
    <w:p w14:paraId="089D14CA" w14:textId="77777777" w:rsidR="00C71666" w:rsidRDefault="00C71666" w:rsidP="00C71666">
      <w:pPr>
        <w:pStyle w:val="Head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Employees should raise concerns and should never feel they are being disloyal to colleagues, managers or </w:t>
      </w:r>
      <w:r w:rsidR="00C1594B">
        <w:rPr>
          <w:sz w:val="24"/>
          <w:szCs w:val="24"/>
        </w:rPr>
        <w:t xml:space="preserve">core </w:t>
      </w:r>
      <w:r>
        <w:rPr>
          <w:sz w:val="24"/>
          <w:szCs w:val="24"/>
        </w:rPr>
        <w:t xml:space="preserve">committee members of the </w:t>
      </w:r>
      <w:r w:rsidR="00C1594B">
        <w:rPr>
          <w:sz w:val="24"/>
          <w:szCs w:val="24"/>
        </w:rPr>
        <w:t>nursery</w:t>
      </w:r>
      <w:r>
        <w:rPr>
          <w:sz w:val="24"/>
          <w:szCs w:val="24"/>
        </w:rPr>
        <w:t>.</w:t>
      </w:r>
    </w:p>
    <w:p w14:paraId="0D332D47" w14:textId="77777777" w:rsidR="00C71666" w:rsidRDefault="00C71666" w:rsidP="00C71666">
      <w:pPr>
        <w:pStyle w:val="Head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Employees will be protected from possible reprisals or victimisation.</w:t>
      </w:r>
    </w:p>
    <w:p w14:paraId="7F5CB07D" w14:textId="77777777" w:rsidR="00C71666" w:rsidRDefault="00C71666" w:rsidP="00C71666">
      <w:pPr>
        <w:pStyle w:val="Head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Whistle blowing will not be at risk of losing your job; </w:t>
      </w:r>
      <w:r w:rsidR="00C42DC7">
        <w:rPr>
          <w:sz w:val="24"/>
          <w:szCs w:val="24"/>
        </w:rPr>
        <w:t>however,</w:t>
      </w:r>
      <w:r>
        <w:rPr>
          <w:sz w:val="24"/>
          <w:szCs w:val="24"/>
        </w:rPr>
        <w:t xml:space="preserve"> thi</w:t>
      </w:r>
      <w:r w:rsidR="00C42DC7">
        <w:rPr>
          <w:sz w:val="24"/>
          <w:szCs w:val="24"/>
        </w:rPr>
        <w:t>s is not extended to anyone who</w:t>
      </w:r>
      <w:r>
        <w:rPr>
          <w:sz w:val="24"/>
          <w:szCs w:val="24"/>
        </w:rPr>
        <w:t xml:space="preserve"> maliciously raises a matter they know to be untrue.</w:t>
      </w:r>
    </w:p>
    <w:p w14:paraId="21EBB85A" w14:textId="77777777" w:rsidR="00C71666" w:rsidRDefault="00C71666" w:rsidP="00C71666">
      <w:pPr>
        <w:pStyle w:val="Head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Whistle blowing </w:t>
      </w:r>
      <w:proofErr w:type="gramStart"/>
      <w:r>
        <w:rPr>
          <w:sz w:val="24"/>
          <w:szCs w:val="24"/>
        </w:rPr>
        <w:t>is considered to be</w:t>
      </w:r>
      <w:proofErr w:type="gramEnd"/>
      <w:r>
        <w:rPr>
          <w:sz w:val="24"/>
          <w:szCs w:val="24"/>
        </w:rPr>
        <w:t xml:space="preserve"> in good faith.</w:t>
      </w:r>
    </w:p>
    <w:p w14:paraId="6B0C21CB" w14:textId="77777777" w:rsidR="00C71666" w:rsidRDefault="00C71666" w:rsidP="00C71666">
      <w:pPr>
        <w:pStyle w:val="Head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Employees should not raise concerns outside the </w:t>
      </w:r>
      <w:r w:rsidR="00C1594B">
        <w:rPr>
          <w:sz w:val="24"/>
          <w:szCs w:val="24"/>
        </w:rPr>
        <w:t>nursery</w:t>
      </w:r>
      <w:r>
        <w:rPr>
          <w:sz w:val="24"/>
          <w:szCs w:val="24"/>
        </w:rPr>
        <w:t>, before they have been raised internally and time given for them to be resolved.</w:t>
      </w:r>
    </w:p>
    <w:p w14:paraId="4B79656D" w14:textId="77777777" w:rsidR="00C71666" w:rsidRDefault="00C71666" w:rsidP="00C71666">
      <w:pPr>
        <w:pStyle w:val="Head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If employees do not follow the </w:t>
      </w:r>
      <w:r w:rsidR="00C1594B">
        <w:rPr>
          <w:sz w:val="24"/>
          <w:szCs w:val="24"/>
        </w:rPr>
        <w:t>nursery</w:t>
      </w:r>
      <w:r>
        <w:rPr>
          <w:sz w:val="24"/>
          <w:szCs w:val="24"/>
        </w:rPr>
        <w:t xml:space="preserve"> procedures for whistle blowing internally, they may weaken the protection given to them under the ‘Public Interest Disclosure Act 1998’.</w:t>
      </w:r>
    </w:p>
    <w:p w14:paraId="0B34EA08" w14:textId="77777777" w:rsidR="00C71666" w:rsidRPr="00C71666" w:rsidRDefault="00C71666" w:rsidP="00C71666">
      <w:pPr>
        <w:pStyle w:val="Head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Employment grievances are not covered under the whistle blowing policy and should be raised as a separate issue.</w:t>
      </w:r>
    </w:p>
    <w:p w14:paraId="0802E9CF" w14:textId="77777777" w:rsidR="006249E0" w:rsidRPr="006249E0" w:rsidRDefault="006249E0" w:rsidP="00B22BD6">
      <w:pPr>
        <w:pStyle w:val="Header"/>
        <w:rPr>
          <w:sz w:val="24"/>
          <w:szCs w:val="24"/>
        </w:rPr>
      </w:pPr>
    </w:p>
    <w:p w14:paraId="72D066D0" w14:textId="77777777" w:rsidR="00B22BD6" w:rsidRPr="00E32A32" w:rsidRDefault="00B22BD6" w:rsidP="00B22BD6">
      <w:pPr>
        <w:rPr>
          <w:rFonts w:cs="Arial"/>
          <w:b/>
          <w:sz w:val="24"/>
          <w:szCs w:val="24"/>
        </w:rPr>
      </w:pPr>
      <w:r w:rsidRPr="00E32A32">
        <w:rPr>
          <w:rFonts w:cs="Arial"/>
          <w:b/>
          <w:sz w:val="24"/>
          <w:szCs w:val="24"/>
        </w:rPr>
        <w:t xml:space="preserve">Procedures for whistle blowing:  </w:t>
      </w:r>
    </w:p>
    <w:p w14:paraId="400537BE" w14:textId="77777777" w:rsidR="00F75E51" w:rsidRPr="006249E0" w:rsidRDefault="00F75E51" w:rsidP="00B22BD6">
      <w:pPr>
        <w:rPr>
          <w:rFonts w:cs="Arial"/>
          <w:sz w:val="24"/>
          <w:szCs w:val="24"/>
        </w:rPr>
      </w:pPr>
    </w:p>
    <w:p w14:paraId="2338495E" w14:textId="1D9D13F2" w:rsidR="006249E0" w:rsidRDefault="00E32A32" w:rsidP="00E32A32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If any </w:t>
      </w:r>
      <w:r w:rsidR="00A3502F">
        <w:rPr>
          <w:rFonts w:cs="Arial"/>
        </w:rPr>
        <w:t xml:space="preserve">employee or volunteer working in the </w:t>
      </w:r>
      <w:r w:rsidR="00C1594B">
        <w:rPr>
          <w:rFonts w:cs="Arial"/>
        </w:rPr>
        <w:t>nursery</w:t>
      </w:r>
      <w:r w:rsidR="00A3502F">
        <w:rPr>
          <w:rFonts w:cs="Arial"/>
        </w:rPr>
        <w:t xml:space="preserve"> has a </w:t>
      </w:r>
      <w:r w:rsidR="005F3298">
        <w:rPr>
          <w:rFonts w:cs="Arial"/>
        </w:rPr>
        <w:t>concern,</w:t>
      </w:r>
      <w:r w:rsidR="00A3502F">
        <w:rPr>
          <w:rFonts w:cs="Arial"/>
        </w:rPr>
        <w:t xml:space="preserve"> they should raise their concerns directly with the manager</w:t>
      </w:r>
      <w:r w:rsidR="00C1594B">
        <w:rPr>
          <w:rFonts w:cs="Arial"/>
        </w:rPr>
        <w:t>s</w:t>
      </w:r>
      <w:r w:rsidR="00A3502F">
        <w:rPr>
          <w:rFonts w:cs="Arial"/>
        </w:rPr>
        <w:t xml:space="preserve"> and without delay.</w:t>
      </w:r>
    </w:p>
    <w:p w14:paraId="416370B7" w14:textId="254C2F9B" w:rsidR="00A3502F" w:rsidRDefault="00A3502F" w:rsidP="00E32A32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lastRenderedPageBreak/>
        <w:t xml:space="preserve">If it is felt that the employee or volunteer </w:t>
      </w:r>
      <w:proofErr w:type="gramStart"/>
      <w:r>
        <w:rPr>
          <w:rFonts w:cs="Arial"/>
        </w:rPr>
        <w:t>is not able to</w:t>
      </w:r>
      <w:proofErr w:type="gramEnd"/>
      <w:r>
        <w:rPr>
          <w:rFonts w:cs="Arial"/>
        </w:rPr>
        <w:t xml:space="preserve"> speak to the manager or if the concern is related to the manager, they should arrange an appointment to speak with the </w:t>
      </w:r>
      <w:r w:rsidR="00C1594B">
        <w:rPr>
          <w:rFonts w:cs="Arial"/>
        </w:rPr>
        <w:t xml:space="preserve">core group </w:t>
      </w:r>
      <w:r>
        <w:rPr>
          <w:rFonts w:cs="Arial"/>
        </w:rPr>
        <w:t xml:space="preserve">committee </w:t>
      </w:r>
      <w:r w:rsidR="005F3298">
        <w:rPr>
          <w:rFonts w:cs="Arial"/>
        </w:rPr>
        <w:t>chairperson</w:t>
      </w:r>
      <w:r>
        <w:rPr>
          <w:rFonts w:cs="Arial"/>
        </w:rPr>
        <w:t xml:space="preserve"> who will investigate the matter.</w:t>
      </w:r>
    </w:p>
    <w:p w14:paraId="1EE806F5" w14:textId="1512B509" w:rsidR="00A3502F" w:rsidRDefault="00A3502F" w:rsidP="00E32A32">
      <w:pPr>
        <w:pStyle w:val="ListParagraph"/>
        <w:numPr>
          <w:ilvl w:val="0"/>
          <w:numId w:val="8"/>
        </w:numPr>
        <w:rPr>
          <w:rFonts w:cs="Arial"/>
        </w:rPr>
      </w:pPr>
      <w:proofErr w:type="gramStart"/>
      <w:r>
        <w:rPr>
          <w:rFonts w:cs="Arial"/>
        </w:rPr>
        <w:t xml:space="preserve">In the majority of </w:t>
      </w:r>
      <w:r w:rsidR="005F3298">
        <w:rPr>
          <w:rFonts w:cs="Arial"/>
        </w:rPr>
        <w:t>instances</w:t>
      </w:r>
      <w:proofErr w:type="gramEnd"/>
      <w:r w:rsidR="005F3298">
        <w:rPr>
          <w:rFonts w:cs="Arial"/>
        </w:rPr>
        <w:t>,</w:t>
      </w:r>
      <w:r>
        <w:rPr>
          <w:rFonts w:cs="Arial"/>
        </w:rPr>
        <w:t xml:space="preserve"> the manager will investigate the </w:t>
      </w:r>
      <w:proofErr w:type="gramStart"/>
      <w:r>
        <w:rPr>
          <w:rFonts w:cs="Arial"/>
        </w:rPr>
        <w:t>concern</w:t>
      </w:r>
      <w:proofErr w:type="gramEnd"/>
      <w:r>
        <w:rPr>
          <w:rFonts w:cs="Arial"/>
        </w:rPr>
        <w:t xml:space="preserve"> and the committee</w:t>
      </w:r>
      <w:r w:rsidR="00C1594B">
        <w:rPr>
          <w:rFonts w:cs="Arial"/>
        </w:rPr>
        <w:t xml:space="preserve"> core </w:t>
      </w:r>
      <w:r w:rsidR="00700C47">
        <w:rPr>
          <w:rFonts w:cs="Arial"/>
        </w:rPr>
        <w:t>group chairperson</w:t>
      </w:r>
      <w:r>
        <w:rPr>
          <w:rFonts w:cs="Arial"/>
        </w:rPr>
        <w:t xml:space="preserve"> will be informed of the progress and actions taken throughout the investigation.</w:t>
      </w:r>
    </w:p>
    <w:p w14:paraId="465F9CC0" w14:textId="77777777" w:rsidR="00A3502F" w:rsidRDefault="00A3502F" w:rsidP="00E32A32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The concerns made will be initially logged </w:t>
      </w:r>
      <w:r w:rsidR="00700C47">
        <w:rPr>
          <w:rFonts w:cs="Arial"/>
        </w:rPr>
        <w:t>by the manager, committee chair</w:t>
      </w:r>
      <w:r>
        <w:rPr>
          <w:rFonts w:cs="Arial"/>
        </w:rPr>
        <w:t>person on a ‘summary log sheet: raising concern’.</w:t>
      </w:r>
    </w:p>
    <w:p w14:paraId="5D0D50FB" w14:textId="27DEA298" w:rsidR="00A3502F" w:rsidRDefault="008755AE" w:rsidP="00E32A32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If the concern was not raised to the </w:t>
      </w:r>
      <w:r w:rsidR="00C1594B">
        <w:rPr>
          <w:rFonts w:cs="Arial"/>
        </w:rPr>
        <w:t xml:space="preserve">core group </w:t>
      </w:r>
      <w:r>
        <w:rPr>
          <w:rFonts w:cs="Arial"/>
        </w:rPr>
        <w:t xml:space="preserve">committee </w:t>
      </w:r>
      <w:r w:rsidR="00867D40">
        <w:rPr>
          <w:rFonts w:cs="Arial"/>
        </w:rPr>
        <w:t>chairperson</w:t>
      </w:r>
      <w:r>
        <w:rPr>
          <w:rFonts w:cs="Arial"/>
        </w:rPr>
        <w:t xml:space="preserve">, the </w:t>
      </w:r>
      <w:r w:rsidR="00C1594B">
        <w:rPr>
          <w:rFonts w:cs="Arial"/>
        </w:rPr>
        <w:t>nursery</w:t>
      </w:r>
      <w:r>
        <w:rPr>
          <w:rFonts w:cs="Arial"/>
        </w:rPr>
        <w:t xml:space="preserve"> manager will contact the committee </w:t>
      </w:r>
      <w:r w:rsidR="00867D40">
        <w:rPr>
          <w:rFonts w:cs="Arial"/>
        </w:rPr>
        <w:t>chairperson</w:t>
      </w:r>
      <w:r>
        <w:rPr>
          <w:rFonts w:cs="Arial"/>
        </w:rPr>
        <w:t xml:space="preserve"> and inform them of the concern.</w:t>
      </w:r>
    </w:p>
    <w:p w14:paraId="62E8A837" w14:textId="05A4D0CA" w:rsidR="008755AE" w:rsidRDefault="008755AE" w:rsidP="00E32A32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Once the concern has been logged, the manager, committee </w:t>
      </w:r>
      <w:r w:rsidR="00867D40">
        <w:rPr>
          <w:rFonts w:cs="Arial"/>
        </w:rPr>
        <w:t>chairperson</w:t>
      </w:r>
      <w:r>
        <w:rPr>
          <w:rFonts w:cs="Arial"/>
        </w:rPr>
        <w:t xml:space="preserve"> will </w:t>
      </w:r>
      <w:r w:rsidR="0035541D">
        <w:rPr>
          <w:rFonts w:cs="Arial"/>
        </w:rPr>
        <w:t>acknowledge</w:t>
      </w:r>
      <w:r w:rsidR="002A09F1">
        <w:rPr>
          <w:rFonts w:cs="Arial"/>
        </w:rPr>
        <w:t xml:space="preserve"> the concern within 5 days, giving details of:</w:t>
      </w:r>
    </w:p>
    <w:p w14:paraId="128A2990" w14:textId="77777777" w:rsidR="002A09F1" w:rsidRDefault="002A09F1" w:rsidP="002A09F1">
      <w:pPr>
        <w:pStyle w:val="ListParagraph"/>
        <w:rPr>
          <w:rFonts w:cs="Arial"/>
        </w:rPr>
      </w:pPr>
      <w:r>
        <w:rPr>
          <w:rFonts w:cs="Arial"/>
        </w:rPr>
        <w:t>-The concern raised.</w:t>
      </w:r>
    </w:p>
    <w:p w14:paraId="59693C26" w14:textId="77777777" w:rsidR="002A09F1" w:rsidRDefault="002A09F1" w:rsidP="002A09F1">
      <w:pPr>
        <w:pStyle w:val="ListParagraph"/>
        <w:rPr>
          <w:rFonts w:cs="Arial"/>
        </w:rPr>
      </w:pPr>
      <w:r>
        <w:rPr>
          <w:rFonts w:cs="Arial"/>
        </w:rPr>
        <w:t>-The name of the person handling the investigation.</w:t>
      </w:r>
    </w:p>
    <w:p w14:paraId="3535588B" w14:textId="77777777" w:rsidR="002A09F1" w:rsidRDefault="002A09F1" w:rsidP="002A09F1">
      <w:pPr>
        <w:pStyle w:val="ListParagraph"/>
        <w:rPr>
          <w:rFonts w:cs="Arial"/>
        </w:rPr>
      </w:pPr>
      <w:r>
        <w:rPr>
          <w:rFonts w:cs="Arial"/>
        </w:rPr>
        <w:t>-How the person handling the investigation can be contacted (if required).</w:t>
      </w:r>
    </w:p>
    <w:p w14:paraId="5A92A50F" w14:textId="77777777" w:rsidR="002A09F1" w:rsidRDefault="002A09F1" w:rsidP="002A09F1">
      <w:pPr>
        <w:pStyle w:val="ListParagraph"/>
        <w:rPr>
          <w:rFonts w:cs="Arial"/>
        </w:rPr>
      </w:pPr>
      <w:r>
        <w:rPr>
          <w:rFonts w:cs="Arial"/>
        </w:rPr>
        <w:t>-Whether the person who had raised the concern may be required for further assistance,</w:t>
      </w:r>
    </w:p>
    <w:p w14:paraId="46D3251D" w14:textId="77777777" w:rsidR="002A09F1" w:rsidRDefault="002A09F1" w:rsidP="002A09F1">
      <w:pPr>
        <w:pStyle w:val="ListParagraph"/>
        <w:numPr>
          <w:ilvl w:val="0"/>
          <w:numId w:val="10"/>
        </w:numPr>
        <w:rPr>
          <w:rFonts w:cs="Arial"/>
        </w:rPr>
      </w:pPr>
      <w:r>
        <w:rPr>
          <w:rFonts w:cs="Arial"/>
        </w:rPr>
        <w:t>The</w:t>
      </w:r>
      <w:r w:rsidR="00700C47">
        <w:rPr>
          <w:rFonts w:cs="Arial"/>
        </w:rPr>
        <w:t xml:space="preserve"> manager, committee chair</w:t>
      </w:r>
      <w:r>
        <w:rPr>
          <w:rFonts w:cs="Arial"/>
        </w:rPr>
        <w:t xml:space="preserve">person investigating the concern will write to the </w:t>
      </w:r>
      <w:r w:rsidR="0035541D">
        <w:rPr>
          <w:rFonts w:cs="Arial"/>
        </w:rPr>
        <w:t>complainant</w:t>
      </w:r>
      <w:r>
        <w:rPr>
          <w:rFonts w:cs="Arial"/>
        </w:rPr>
        <w:t xml:space="preserve"> </w:t>
      </w:r>
      <w:r w:rsidR="0035541D">
        <w:rPr>
          <w:rFonts w:cs="Arial"/>
        </w:rPr>
        <w:t>summarising</w:t>
      </w:r>
      <w:r>
        <w:rPr>
          <w:rFonts w:cs="Arial"/>
        </w:rPr>
        <w:t xml:space="preserve"> the allegation made.  This will be made within 5 days.</w:t>
      </w:r>
    </w:p>
    <w:p w14:paraId="2D439C42" w14:textId="77777777" w:rsidR="002A09F1" w:rsidRDefault="00700C47" w:rsidP="002A09F1">
      <w:pPr>
        <w:pStyle w:val="ListParagraph"/>
        <w:numPr>
          <w:ilvl w:val="0"/>
          <w:numId w:val="10"/>
        </w:numPr>
        <w:rPr>
          <w:rFonts w:cs="Arial"/>
        </w:rPr>
      </w:pPr>
      <w:r>
        <w:rPr>
          <w:rFonts w:cs="Arial"/>
        </w:rPr>
        <w:t>The manager, committee chair</w:t>
      </w:r>
      <w:r w:rsidR="002A09F1">
        <w:rPr>
          <w:rFonts w:cs="Arial"/>
        </w:rPr>
        <w:t xml:space="preserve">person will investigate the </w:t>
      </w:r>
      <w:r w:rsidR="0035541D">
        <w:rPr>
          <w:rFonts w:cs="Arial"/>
        </w:rPr>
        <w:t>concern</w:t>
      </w:r>
      <w:r w:rsidR="002A09F1">
        <w:rPr>
          <w:rFonts w:cs="Arial"/>
        </w:rPr>
        <w:t>, speaking to any parties and assess what action should be taken.</w:t>
      </w:r>
    </w:p>
    <w:p w14:paraId="15CE57D6" w14:textId="77777777" w:rsidR="002A09F1" w:rsidRDefault="002A09F1" w:rsidP="002A09F1">
      <w:pPr>
        <w:pStyle w:val="ListParagraph"/>
        <w:numPr>
          <w:ilvl w:val="0"/>
          <w:numId w:val="10"/>
        </w:numPr>
        <w:rPr>
          <w:rFonts w:cs="Arial"/>
        </w:rPr>
      </w:pPr>
      <w:r>
        <w:rPr>
          <w:rFonts w:cs="Arial"/>
        </w:rPr>
        <w:t>The investigating person will:</w:t>
      </w:r>
    </w:p>
    <w:p w14:paraId="280C67A3" w14:textId="77777777" w:rsidR="002A09F1" w:rsidRDefault="002A09F1" w:rsidP="002A09F1">
      <w:pPr>
        <w:pStyle w:val="ListParagraph"/>
        <w:rPr>
          <w:rFonts w:cs="Arial"/>
        </w:rPr>
      </w:pPr>
      <w:r>
        <w:rPr>
          <w:rFonts w:cs="Arial"/>
        </w:rPr>
        <w:t>-Comply with the Human Rights Act 1998.</w:t>
      </w:r>
    </w:p>
    <w:p w14:paraId="7EF0A935" w14:textId="77777777" w:rsidR="002A09F1" w:rsidRDefault="002A09F1" w:rsidP="002A09F1">
      <w:pPr>
        <w:pStyle w:val="ListParagraph"/>
        <w:rPr>
          <w:rFonts w:cs="Arial"/>
        </w:rPr>
      </w:pPr>
      <w:r>
        <w:rPr>
          <w:rFonts w:cs="Arial"/>
        </w:rPr>
        <w:t>-Ensure every effort is made to guarantee confidentiality.</w:t>
      </w:r>
    </w:p>
    <w:p w14:paraId="71986404" w14:textId="77777777" w:rsidR="002A09F1" w:rsidRDefault="002A09F1" w:rsidP="002A09F1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Where the matter can be resolved internall</w:t>
      </w:r>
      <w:r w:rsidR="00700C47">
        <w:rPr>
          <w:rFonts w:cs="Arial"/>
        </w:rPr>
        <w:t>y, the manager, committee chair</w:t>
      </w:r>
      <w:r>
        <w:rPr>
          <w:rFonts w:cs="Arial"/>
        </w:rPr>
        <w:t>person will make a written report of the outcome(s) and action(s) taken.  When required an action plan for improvement for those persons involved in the concern will be made</w:t>
      </w:r>
      <w:r w:rsidR="00116703">
        <w:rPr>
          <w:rFonts w:cs="Arial"/>
        </w:rPr>
        <w:t>.  A copy will be kept on file and sent to those requiring a copy.</w:t>
      </w:r>
    </w:p>
    <w:p w14:paraId="7E41E0C4" w14:textId="77777777" w:rsidR="00116703" w:rsidRDefault="00116703" w:rsidP="002A09F1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A note will be made on the </w:t>
      </w:r>
      <w:r w:rsidR="0035541D">
        <w:rPr>
          <w:rFonts w:cs="Arial"/>
        </w:rPr>
        <w:t>employee’s</w:t>
      </w:r>
      <w:r>
        <w:rPr>
          <w:rFonts w:cs="Arial"/>
        </w:rPr>
        <w:t xml:space="preserve"> personal file.</w:t>
      </w:r>
    </w:p>
    <w:p w14:paraId="4058AE06" w14:textId="77777777" w:rsidR="00116703" w:rsidRDefault="00116703" w:rsidP="002A09F1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The </w:t>
      </w:r>
      <w:r w:rsidR="0035541D">
        <w:rPr>
          <w:rFonts w:cs="Arial"/>
        </w:rPr>
        <w:t>complainant</w:t>
      </w:r>
      <w:r>
        <w:rPr>
          <w:rFonts w:cs="Arial"/>
        </w:rPr>
        <w:t xml:space="preserve"> will be informed of the progress made and any action taken.</w:t>
      </w:r>
    </w:p>
    <w:p w14:paraId="2518E889" w14:textId="77777777" w:rsidR="00116703" w:rsidRDefault="00116703" w:rsidP="002A09F1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The </w:t>
      </w:r>
      <w:r w:rsidR="0035541D">
        <w:rPr>
          <w:rFonts w:cs="Arial"/>
        </w:rPr>
        <w:t>outcome of</w:t>
      </w:r>
      <w:r>
        <w:rPr>
          <w:rFonts w:cs="Arial"/>
        </w:rPr>
        <w:t xml:space="preserve"> the matter will be reported to the </w:t>
      </w:r>
      <w:proofErr w:type="gramStart"/>
      <w:r>
        <w:rPr>
          <w:rFonts w:cs="Arial"/>
        </w:rPr>
        <w:t>committee</w:t>
      </w:r>
      <w:proofErr w:type="gramEnd"/>
      <w:r>
        <w:rPr>
          <w:rFonts w:cs="Arial"/>
        </w:rPr>
        <w:t xml:space="preserve"> and the investigation will be considered closed.</w:t>
      </w:r>
    </w:p>
    <w:p w14:paraId="479D86C4" w14:textId="77777777" w:rsidR="00116703" w:rsidRPr="00116703" w:rsidRDefault="00116703" w:rsidP="00116703">
      <w:pPr>
        <w:rPr>
          <w:rFonts w:cs="Arial"/>
        </w:rPr>
      </w:pPr>
    </w:p>
    <w:p w14:paraId="0147F37C" w14:textId="21C69A1D" w:rsidR="00116703" w:rsidRPr="00116703" w:rsidRDefault="00116703" w:rsidP="0011670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If the concern raised is a ‘safeguarding’ issue, the </w:t>
      </w:r>
      <w:r w:rsidR="00700C47">
        <w:rPr>
          <w:rFonts w:cs="Arial"/>
          <w:b/>
        </w:rPr>
        <w:t>manager/committee chair</w:t>
      </w:r>
      <w:r w:rsidR="00C42DC7">
        <w:rPr>
          <w:rFonts w:cs="Arial"/>
          <w:b/>
        </w:rPr>
        <w:t xml:space="preserve">person will follow the </w:t>
      </w:r>
      <w:r>
        <w:rPr>
          <w:rFonts w:cs="Arial"/>
          <w:b/>
        </w:rPr>
        <w:t xml:space="preserve">safeguarding </w:t>
      </w:r>
      <w:proofErr w:type="gramStart"/>
      <w:r>
        <w:rPr>
          <w:rFonts w:cs="Arial"/>
          <w:b/>
        </w:rPr>
        <w:t>children</w:t>
      </w:r>
      <w:proofErr w:type="gramEnd"/>
      <w:r>
        <w:rPr>
          <w:rFonts w:cs="Arial"/>
          <w:b/>
        </w:rPr>
        <w:t xml:space="preserve"> </w:t>
      </w:r>
      <w:r w:rsidR="00880224">
        <w:rPr>
          <w:rFonts w:cs="Arial"/>
          <w:b/>
        </w:rPr>
        <w:t>procedures</w:t>
      </w:r>
      <w:r>
        <w:rPr>
          <w:rFonts w:cs="Arial"/>
          <w:b/>
        </w:rPr>
        <w:t>.</w:t>
      </w:r>
    </w:p>
    <w:p w14:paraId="40548D33" w14:textId="77777777" w:rsidR="006249E0" w:rsidRDefault="006249E0" w:rsidP="00C55181">
      <w:pPr>
        <w:rPr>
          <w:rFonts w:cs="Arial"/>
          <w:b/>
        </w:rPr>
      </w:pPr>
    </w:p>
    <w:p w14:paraId="06B9BD5E" w14:textId="7DC5989E" w:rsidR="00116703" w:rsidRDefault="004D5413" w:rsidP="00116703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Staff</w:t>
      </w:r>
      <w:r w:rsidR="00116703">
        <w:rPr>
          <w:rFonts w:cs="Arial"/>
        </w:rPr>
        <w:t xml:space="preserve"> who identify a safeguardi</w:t>
      </w:r>
      <w:r w:rsidR="00700C47">
        <w:rPr>
          <w:rFonts w:cs="Arial"/>
        </w:rPr>
        <w:t xml:space="preserve">ng concern and report this to the designated </w:t>
      </w:r>
      <w:r w:rsidR="00116703">
        <w:rPr>
          <w:rFonts w:cs="Arial"/>
        </w:rPr>
        <w:t xml:space="preserve">safeguarding </w:t>
      </w:r>
      <w:r w:rsidR="004C1AD0">
        <w:rPr>
          <w:rFonts w:cs="Arial"/>
        </w:rPr>
        <w:t>lead</w:t>
      </w:r>
      <w:r w:rsidR="00116703">
        <w:rPr>
          <w:rFonts w:cs="Arial"/>
        </w:rPr>
        <w:t xml:space="preserve">/manager retain individual responsibility for the reporting/management of the concern.  As such </w:t>
      </w:r>
      <w:r w:rsidR="0035541D">
        <w:rPr>
          <w:rFonts w:cs="Arial"/>
        </w:rPr>
        <w:t>staff reporting</w:t>
      </w:r>
      <w:r w:rsidR="00116703">
        <w:rPr>
          <w:rFonts w:cs="Arial"/>
        </w:rPr>
        <w:t xml:space="preserve"> incidents should be updated by the safeguarding </w:t>
      </w:r>
      <w:r w:rsidR="004C1AD0">
        <w:rPr>
          <w:rFonts w:cs="Arial"/>
        </w:rPr>
        <w:t>leaf</w:t>
      </w:r>
      <w:r w:rsidR="00116703">
        <w:rPr>
          <w:rFonts w:cs="Arial"/>
        </w:rPr>
        <w:t xml:space="preserve">/manager on a </w:t>
      </w:r>
      <w:proofErr w:type="gramStart"/>
      <w:r w:rsidR="00116703">
        <w:rPr>
          <w:rFonts w:cs="Arial"/>
        </w:rPr>
        <w:t>need to know</w:t>
      </w:r>
      <w:proofErr w:type="gramEnd"/>
      <w:r w:rsidR="00116703">
        <w:rPr>
          <w:rFonts w:cs="Arial"/>
        </w:rPr>
        <w:t xml:space="preserve"> basis, recognising that confidentiality may limit the information that can be shared.</w:t>
      </w:r>
    </w:p>
    <w:p w14:paraId="1EA263F1" w14:textId="5278CDA9" w:rsidR="00116703" w:rsidRDefault="00116703" w:rsidP="00116703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Where a member of staff has reported a concern but are unaware that appropriate action has been </w:t>
      </w:r>
      <w:r w:rsidR="004C1AD0">
        <w:rPr>
          <w:rFonts w:cs="Arial"/>
        </w:rPr>
        <w:t>taken,</w:t>
      </w:r>
      <w:r>
        <w:rPr>
          <w:rFonts w:cs="Arial"/>
        </w:rPr>
        <w:t xml:space="preserve"> they should consult their safeguarding </w:t>
      </w:r>
      <w:r w:rsidR="004C1AD0">
        <w:rPr>
          <w:rFonts w:cs="Arial"/>
        </w:rPr>
        <w:t>lead</w:t>
      </w:r>
      <w:r>
        <w:rPr>
          <w:rFonts w:cs="Arial"/>
        </w:rPr>
        <w:t>/manager for an update.  If the member of staff feels</w:t>
      </w:r>
      <w:r w:rsidR="00582156">
        <w:rPr>
          <w:rFonts w:cs="Arial"/>
        </w:rPr>
        <w:t xml:space="preserve"> that appropriate action has not been </w:t>
      </w:r>
      <w:r w:rsidR="0064635F">
        <w:rPr>
          <w:rFonts w:cs="Arial"/>
        </w:rPr>
        <w:t>taken,</w:t>
      </w:r>
      <w:r w:rsidR="00582156">
        <w:rPr>
          <w:rFonts w:cs="Arial"/>
        </w:rPr>
        <w:t xml:space="preserve"> they should contact the committee to discuss this further.</w:t>
      </w:r>
    </w:p>
    <w:p w14:paraId="56E0CF25" w14:textId="77777777" w:rsidR="00582156" w:rsidRDefault="00582156" w:rsidP="00116703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If after these step</w:t>
      </w:r>
      <w:r w:rsidR="00837FD6">
        <w:rPr>
          <w:rFonts w:cs="Arial"/>
        </w:rPr>
        <w:t>s</w:t>
      </w:r>
      <w:r>
        <w:rPr>
          <w:rFonts w:cs="Arial"/>
        </w:rPr>
        <w:t xml:space="preserve"> a member of staff still feels that appropriate action has not been taken then the member of staff should contact the local authority’s Single Point of Advice (SPOA)/LADO</w:t>
      </w:r>
      <w:r w:rsidR="00247526">
        <w:rPr>
          <w:rFonts w:cs="Arial"/>
        </w:rPr>
        <w:t xml:space="preserve"> online website</w:t>
      </w:r>
      <w:r>
        <w:rPr>
          <w:rFonts w:cs="Arial"/>
        </w:rPr>
        <w:t>, contact details of whom are included in this policy.</w:t>
      </w:r>
    </w:p>
    <w:p w14:paraId="097799EF" w14:textId="77777777" w:rsidR="00582156" w:rsidRDefault="00582156" w:rsidP="00582156">
      <w:pPr>
        <w:rPr>
          <w:rFonts w:cs="Arial"/>
        </w:rPr>
      </w:pPr>
    </w:p>
    <w:p w14:paraId="4C5910FC" w14:textId="77777777" w:rsidR="00582156" w:rsidRDefault="00582156" w:rsidP="00582156">
      <w:pPr>
        <w:rPr>
          <w:rFonts w:cs="Arial"/>
          <w:b/>
        </w:rPr>
      </w:pPr>
      <w:r>
        <w:rPr>
          <w:rFonts w:cs="Arial"/>
          <w:b/>
        </w:rPr>
        <w:t>Dissatisfied with the outcome</w:t>
      </w:r>
    </w:p>
    <w:p w14:paraId="0FED5F01" w14:textId="77777777" w:rsidR="00582156" w:rsidRDefault="00582156" w:rsidP="00582156">
      <w:pPr>
        <w:rPr>
          <w:rFonts w:cs="Arial"/>
          <w:b/>
        </w:rPr>
      </w:pPr>
    </w:p>
    <w:p w14:paraId="20625978" w14:textId="0E1B4C9C" w:rsidR="00582156" w:rsidRDefault="00582156" w:rsidP="00582156">
      <w:pPr>
        <w:rPr>
          <w:rFonts w:cs="Arial"/>
        </w:rPr>
      </w:pPr>
      <w:r>
        <w:rPr>
          <w:rFonts w:cs="Arial"/>
        </w:rPr>
        <w:lastRenderedPageBreak/>
        <w:t>Where an employee or vol</w:t>
      </w:r>
      <w:r w:rsidR="00700C47">
        <w:rPr>
          <w:rFonts w:cs="Arial"/>
        </w:rPr>
        <w:t>unteer working at the nursery</w:t>
      </w:r>
      <w:r>
        <w:rPr>
          <w:rFonts w:cs="Arial"/>
        </w:rPr>
        <w:t xml:space="preserve"> is unhappy with the outcome of an </w:t>
      </w:r>
      <w:r w:rsidR="0064635F">
        <w:rPr>
          <w:rFonts w:cs="Arial"/>
        </w:rPr>
        <w:t>investigation,</w:t>
      </w:r>
      <w:r>
        <w:rPr>
          <w:rFonts w:cs="Arial"/>
        </w:rPr>
        <w:t xml:space="preserve"> we recommend that they speak to the independent charity: Public Concern at Work.  This can be done at any stage.</w:t>
      </w:r>
    </w:p>
    <w:p w14:paraId="780F1B98" w14:textId="77777777" w:rsidR="00582156" w:rsidRDefault="00582156" w:rsidP="00582156">
      <w:pPr>
        <w:rPr>
          <w:rFonts w:cs="Arial"/>
        </w:rPr>
      </w:pPr>
    </w:p>
    <w:p w14:paraId="76A28F99" w14:textId="77777777" w:rsidR="00582156" w:rsidRDefault="00582156" w:rsidP="00582156">
      <w:pPr>
        <w:rPr>
          <w:rFonts w:cs="Arial"/>
          <w:b/>
        </w:rPr>
      </w:pPr>
      <w:r>
        <w:rPr>
          <w:rFonts w:cs="Arial"/>
          <w:b/>
        </w:rPr>
        <w:t>Raising my concern anonymously</w:t>
      </w:r>
    </w:p>
    <w:p w14:paraId="556BEAAD" w14:textId="77777777" w:rsidR="00582156" w:rsidRDefault="00582156" w:rsidP="00582156">
      <w:pPr>
        <w:rPr>
          <w:rFonts w:cs="Arial"/>
          <w:b/>
        </w:rPr>
      </w:pPr>
    </w:p>
    <w:p w14:paraId="2816BFB2" w14:textId="77777777" w:rsidR="00582156" w:rsidRPr="00582156" w:rsidRDefault="00582156" w:rsidP="00582156">
      <w:pPr>
        <w:rPr>
          <w:rFonts w:cs="Arial"/>
        </w:rPr>
      </w:pPr>
      <w:r>
        <w:rPr>
          <w:rFonts w:cs="Arial"/>
        </w:rPr>
        <w:t xml:space="preserve">Concerns can be made anonymously, however the person investigating the concern will not be able to give feedback on the outcome or ask for additional information that they may need </w:t>
      </w:r>
      <w:proofErr w:type="gramStart"/>
      <w:r>
        <w:rPr>
          <w:rFonts w:cs="Arial"/>
        </w:rPr>
        <w:t>in order to</w:t>
      </w:r>
      <w:proofErr w:type="gramEnd"/>
      <w:r>
        <w:rPr>
          <w:rFonts w:cs="Arial"/>
        </w:rPr>
        <w:t xml:space="preserve"> complete their investigation.</w:t>
      </w:r>
    </w:p>
    <w:p w14:paraId="0BC4E922" w14:textId="77777777" w:rsidR="006249E0" w:rsidRPr="006249E0" w:rsidRDefault="006249E0" w:rsidP="00C55181">
      <w:pPr>
        <w:rPr>
          <w:rFonts w:cs="Arial"/>
          <w:b/>
        </w:rPr>
      </w:pPr>
    </w:p>
    <w:p w14:paraId="1C306C2F" w14:textId="77777777" w:rsidR="006249E0" w:rsidRPr="006249E0" w:rsidRDefault="006249E0" w:rsidP="00C55181">
      <w:pPr>
        <w:rPr>
          <w:rFonts w:cs="Arial"/>
          <w:b/>
        </w:rPr>
      </w:pPr>
    </w:p>
    <w:p w14:paraId="08B30EB6" w14:textId="77777777" w:rsidR="00B22BD6" w:rsidRPr="006249E0" w:rsidRDefault="00B22BD6" w:rsidP="00C55181">
      <w:pPr>
        <w:rPr>
          <w:rFonts w:cs="Arial"/>
          <w:b/>
        </w:rPr>
      </w:pPr>
      <w:r w:rsidRPr="006249E0">
        <w:rPr>
          <w:rFonts w:cs="Arial"/>
          <w:b/>
        </w:rPr>
        <w:t>External support</w:t>
      </w:r>
    </w:p>
    <w:p w14:paraId="5848021B" w14:textId="77777777" w:rsidR="00B22BD6" w:rsidRPr="006249E0" w:rsidRDefault="00B22BD6" w:rsidP="00C55181">
      <w:pPr>
        <w:rPr>
          <w:rFonts w:cs="Arial"/>
          <w:b/>
        </w:rPr>
      </w:pPr>
    </w:p>
    <w:p w14:paraId="5D85A32B" w14:textId="77777777" w:rsidR="00B22BD6" w:rsidRPr="006249E0" w:rsidRDefault="00B22BD6" w:rsidP="00B22BD6">
      <w:pPr>
        <w:rPr>
          <w:rFonts w:cs="Arial"/>
        </w:rPr>
      </w:pPr>
      <w:r w:rsidRPr="006249E0">
        <w:rPr>
          <w:rFonts w:cs="Arial"/>
        </w:rPr>
        <w:t>At any time in the process employees or volunteers who work at the nursery can contact an external agency for support and advice:</w:t>
      </w:r>
    </w:p>
    <w:p w14:paraId="6AD18EE5" w14:textId="77777777" w:rsidR="00B22BD6" w:rsidRPr="006249E0" w:rsidRDefault="00B22BD6" w:rsidP="00B22BD6">
      <w:pPr>
        <w:rPr>
          <w:rFonts w:cs="Arial"/>
        </w:rPr>
      </w:pPr>
    </w:p>
    <w:p w14:paraId="0463E513" w14:textId="77777777" w:rsidR="00B22BD6" w:rsidRPr="006249E0" w:rsidRDefault="003232E7" w:rsidP="00B22BD6">
      <w:pPr>
        <w:rPr>
          <w:i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424DB5" wp14:editId="11ABECAD">
                <wp:simplePos x="0" y="0"/>
                <wp:positionH relativeFrom="column">
                  <wp:posOffset>3888740</wp:posOffset>
                </wp:positionH>
                <wp:positionV relativeFrom="paragraph">
                  <wp:posOffset>368935</wp:posOffset>
                </wp:positionV>
                <wp:extent cx="2343150" cy="115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599C" w14:textId="77777777" w:rsidR="002A09F1" w:rsidRDefault="002A09F1" w:rsidP="00B22BD6">
                            <w:pPr>
                              <w:rPr>
                                <w:i/>
                              </w:rPr>
                            </w:pPr>
                            <w:r w:rsidRPr="00217C35">
                              <w:rPr>
                                <w:i/>
                              </w:rPr>
                              <w:t xml:space="preserve">LADO </w:t>
                            </w:r>
                            <w:r>
                              <w:rPr>
                                <w:i/>
                              </w:rPr>
                              <w:t xml:space="preserve">– East Sussex – </w:t>
                            </w:r>
                          </w:p>
                          <w:p w14:paraId="6F79701D" w14:textId="77777777" w:rsidR="002A09F1" w:rsidRDefault="00247526" w:rsidP="00B22B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https://www.eastsussex.gov.uk/childrenandfamilies/professional-resources/lado/</w:t>
                            </w:r>
                          </w:p>
                          <w:p w14:paraId="20CEFC74" w14:textId="77777777" w:rsidR="002A09F1" w:rsidRDefault="002A09F1" w:rsidP="00B22BD6">
                            <w:pPr>
                              <w:rPr>
                                <w:b/>
                              </w:rPr>
                            </w:pPr>
                          </w:p>
                          <w:p w14:paraId="3FB7A19E" w14:textId="77777777" w:rsidR="002A09F1" w:rsidRPr="006249E0" w:rsidRDefault="002A09F1" w:rsidP="00B22BD6">
                            <w:pPr>
                              <w:rPr>
                                <w:b/>
                              </w:rPr>
                            </w:pPr>
                            <w:r w:rsidRPr="006249E0">
                              <w:rPr>
                                <w:b/>
                              </w:rPr>
                              <w:t>SPOA - 01323 464222</w:t>
                            </w:r>
                          </w:p>
                          <w:p w14:paraId="02BFFC13" w14:textId="77777777" w:rsidR="002A09F1" w:rsidRDefault="002A09F1" w:rsidP="00B22BD6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3617EE" w14:textId="77777777" w:rsidR="002A09F1" w:rsidRDefault="002A09F1" w:rsidP="00B22B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24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2pt;margin-top:29.05pt;width:184.5pt;height:9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">
                <v:textbox>
                  <w:txbxContent>
                    <w:p w14:paraId="150B599C" w14:textId="77777777" w:rsidR="002A09F1" w:rsidRDefault="002A09F1" w:rsidP="00B22BD6">
                      <w:pPr>
                        <w:rPr>
                          <w:i/>
                        </w:rPr>
                      </w:pPr>
                      <w:r w:rsidRPr="00217C35">
                        <w:rPr>
                          <w:i/>
                        </w:rPr>
                        <w:t xml:space="preserve">LADO </w:t>
                      </w:r>
                      <w:r>
                        <w:rPr>
                          <w:i/>
                        </w:rPr>
                        <w:t xml:space="preserve">– East Sussex – </w:t>
                      </w:r>
                    </w:p>
                    <w:p w14:paraId="6F79701D" w14:textId="77777777" w:rsidR="002A09F1" w:rsidRDefault="00247526" w:rsidP="00B22B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https://www.eastsussex.gov.uk/childrenandfamilies/professional-resources/lado/</w:t>
                      </w:r>
                    </w:p>
                    <w:p w14:paraId="20CEFC74" w14:textId="77777777" w:rsidR="002A09F1" w:rsidRDefault="002A09F1" w:rsidP="00B22BD6">
                      <w:pPr>
                        <w:rPr>
                          <w:b/>
                        </w:rPr>
                      </w:pPr>
                    </w:p>
                    <w:p w14:paraId="3FB7A19E" w14:textId="77777777" w:rsidR="002A09F1" w:rsidRPr="006249E0" w:rsidRDefault="002A09F1" w:rsidP="00B22BD6">
                      <w:pPr>
                        <w:rPr>
                          <w:b/>
                        </w:rPr>
                      </w:pPr>
                      <w:r w:rsidRPr="006249E0">
                        <w:rPr>
                          <w:b/>
                        </w:rPr>
                        <w:t>SPOA - 01323 464222</w:t>
                      </w:r>
                    </w:p>
                    <w:p w14:paraId="02BFFC13" w14:textId="77777777" w:rsidR="002A09F1" w:rsidRDefault="002A09F1" w:rsidP="00B22BD6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A3617EE" w14:textId="77777777" w:rsidR="002A09F1" w:rsidRDefault="002A09F1" w:rsidP="00B22BD6"/>
                  </w:txbxContent>
                </v:textbox>
                <w10:wrap type="square"/>
              </v:shape>
            </w:pict>
          </mc:Fallback>
        </mc:AlternateContent>
      </w:r>
      <w:r w:rsidR="00B22BD6" w:rsidRPr="006249E0">
        <w:rPr>
          <w:rFonts w:cstheme="minorHAnsi"/>
          <w:sz w:val="24"/>
          <w:szCs w:val="24"/>
        </w:rPr>
        <w:t xml:space="preserve">                                       </w:t>
      </w:r>
      <w:r w:rsidR="00B22BD6" w:rsidRPr="006249E0">
        <w:rPr>
          <w:noProof/>
          <w:lang w:eastAsia="en-GB"/>
        </w:rPr>
        <w:drawing>
          <wp:inline distT="0" distB="0" distL="0" distR="0" wp14:anchorId="0BA36D1C" wp14:editId="179D90DC">
            <wp:extent cx="1062990" cy="695325"/>
            <wp:effectExtent l="19050" t="0" r="381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114" t="19895" r="64477" b="60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2BD6" w:rsidRPr="006249E0">
        <w:rPr>
          <w:i/>
        </w:rPr>
        <w:t xml:space="preserve">                                                     </w:t>
      </w:r>
    </w:p>
    <w:p w14:paraId="0757C360" w14:textId="77777777" w:rsidR="00B22BD6" w:rsidRPr="006249E0" w:rsidRDefault="00B22BD6" w:rsidP="00B22BD6">
      <w:pPr>
        <w:rPr>
          <w:rFonts w:cstheme="minorHAnsi"/>
          <w:b/>
          <w:sz w:val="24"/>
          <w:szCs w:val="24"/>
        </w:rPr>
      </w:pPr>
      <w:r w:rsidRPr="006249E0">
        <w:rPr>
          <w:color w:val="FF0000"/>
        </w:rPr>
        <w:t xml:space="preserve">                                </w:t>
      </w:r>
      <w:r w:rsidRPr="006249E0">
        <w:rPr>
          <w:rFonts w:cstheme="minorHAnsi"/>
          <w:b/>
          <w:sz w:val="24"/>
          <w:szCs w:val="24"/>
        </w:rPr>
        <w:t xml:space="preserve">TELEPHONE:  0207 404 66 09                                        </w:t>
      </w:r>
    </w:p>
    <w:p w14:paraId="4CEEF990" w14:textId="77777777" w:rsidR="00B22BD6" w:rsidRPr="006249E0" w:rsidRDefault="00B22BD6" w:rsidP="00B22BD6">
      <w:pPr>
        <w:jc w:val="center"/>
        <w:rPr>
          <w:rFonts w:cstheme="minorHAnsi"/>
          <w:b/>
          <w:sz w:val="4"/>
          <w:szCs w:val="4"/>
        </w:rPr>
      </w:pPr>
    </w:p>
    <w:p w14:paraId="06E8F24A" w14:textId="77777777" w:rsidR="00B22BD6" w:rsidRPr="006249E0" w:rsidRDefault="00B22BD6" w:rsidP="00B22BD6">
      <w:pPr>
        <w:rPr>
          <w:rFonts w:cstheme="minorHAnsi"/>
          <w:sz w:val="24"/>
          <w:szCs w:val="24"/>
        </w:rPr>
      </w:pPr>
      <w:r w:rsidRPr="006249E0">
        <w:rPr>
          <w:rFonts w:cstheme="minorHAnsi"/>
          <w:b/>
          <w:sz w:val="4"/>
          <w:szCs w:val="4"/>
        </w:rPr>
        <w:t xml:space="preserve">                                                                                                       </w:t>
      </w:r>
      <w:r w:rsidRPr="006249E0">
        <w:rPr>
          <w:rFonts w:cstheme="minorHAnsi"/>
          <w:sz w:val="24"/>
          <w:szCs w:val="24"/>
        </w:rPr>
        <w:t>For further information about it you can visit</w:t>
      </w:r>
    </w:p>
    <w:p w14:paraId="31A3C6B8" w14:textId="77777777" w:rsidR="00B22BD6" w:rsidRPr="006249E0" w:rsidRDefault="00B22BD6" w:rsidP="00B22BD6">
      <w:pPr>
        <w:jc w:val="center"/>
        <w:rPr>
          <w:rFonts w:cstheme="minorHAnsi"/>
          <w:b/>
          <w:sz w:val="6"/>
          <w:szCs w:val="6"/>
        </w:rPr>
      </w:pPr>
    </w:p>
    <w:p w14:paraId="730B3F68" w14:textId="77777777" w:rsidR="00B22BD6" w:rsidRPr="006249E0" w:rsidRDefault="00B22BD6" w:rsidP="00B22BD6">
      <w:pPr>
        <w:rPr>
          <w:rFonts w:cstheme="minorHAnsi"/>
          <w:b/>
          <w:sz w:val="24"/>
          <w:szCs w:val="24"/>
        </w:rPr>
      </w:pPr>
      <w:r w:rsidRPr="006249E0">
        <w:rPr>
          <w:rFonts w:cstheme="minorHAnsi"/>
          <w:b/>
          <w:sz w:val="24"/>
          <w:szCs w:val="24"/>
        </w:rPr>
        <w:t xml:space="preserve">                                      www.pcaw.co.uk</w:t>
      </w:r>
    </w:p>
    <w:p w14:paraId="118C6C53" w14:textId="77777777" w:rsidR="00B22BD6" w:rsidRPr="006249E0" w:rsidRDefault="00B22BD6" w:rsidP="00B22BD6">
      <w:pPr>
        <w:jc w:val="center"/>
        <w:rPr>
          <w:rFonts w:cstheme="minorHAnsi"/>
          <w:b/>
          <w:sz w:val="4"/>
          <w:szCs w:val="4"/>
        </w:rPr>
      </w:pPr>
    </w:p>
    <w:p w14:paraId="53246339" w14:textId="77777777" w:rsidR="00B22BD6" w:rsidRDefault="00B22BD6" w:rsidP="00C55181">
      <w:pPr>
        <w:rPr>
          <w:rFonts w:cs="Arial"/>
        </w:rPr>
      </w:pPr>
    </w:p>
    <w:p w14:paraId="35FF6EF4" w14:textId="77777777" w:rsidR="00DF59DA" w:rsidRDefault="00DF59DA" w:rsidP="00C55181">
      <w:pPr>
        <w:rPr>
          <w:rFonts w:cs="Arial"/>
        </w:rPr>
      </w:pPr>
    </w:p>
    <w:p w14:paraId="23505A0A" w14:textId="77777777" w:rsidR="00DF59DA" w:rsidRPr="006249E0" w:rsidRDefault="00DF59DA" w:rsidP="00C55181">
      <w:pPr>
        <w:rPr>
          <w:rFonts w:cs="Arial"/>
        </w:rPr>
      </w:pPr>
    </w:p>
    <w:p w14:paraId="5C9AEB7A" w14:textId="77777777" w:rsidR="00C55181" w:rsidRPr="006249E0" w:rsidRDefault="00C55181" w:rsidP="00BB30FA">
      <w:pPr>
        <w:pStyle w:val="ListParagrap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81"/>
        <w:gridCol w:w="2758"/>
        <w:gridCol w:w="1987"/>
      </w:tblGrid>
      <w:tr w:rsidR="00B20974" w14:paraId="71EAC9D1" w14:textId="77777777" w:rsidTr="003A0582">
        <w:tc>
          <w:tcPr>
            <w:tcW w:w="5352" w:type="dxa"/>
            <w:vAlign w:val="bottom"/>
            <w:hideMark/>
          </w:tcPr>
          <w:p w14:paraId="6F4C2519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This policy was adopted by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5738172F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Jenny Wren Nursery</w:t>
            </w:r>
          </w:p>
        </w:tc>
        <w:tc>
          <w:tcPr>
            <w:tcW w:w="2304" w:type="dxa"/>
            <w:vAlign w:val="bottom"/>
            <w:hideMark/>
          </w:tcPr>
          <w:p w14:paraId="1DDE3D85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(name of provider)</w:t>
            </w:r>
          </w:p>
        </w:tc>
      </w:tr>
      <w:tr w:rsidR="00B20974" w14:paraId="77970585" w14:textId="77777777" w:rsidTr="003A0582">
        <w:tc>
          <w:tcPr>
            <w:tcW w:w="5352" w:type="dxa"/>
            <w:vAlign w:val="bottom"/>
            <w:hideMark/>
          </w:tcPr>
          <w:p w14:paraId="574D4119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49C744C2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February 2026</w:t>
            </w:r>
          </w:p>
        </w:tc>
        <w:tc>
          <w:tcPr>
            <w:tcW w:w="2304" w:type="dxa"/>
            <w:vAlign w:val="bottom"/>
            <w:hideMark/>
          </w:tcPr>
          <w:p w14:paraId="7CA596CC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(date)</w:t>
            </w:r>
          </w:p>
        </w:tc>
      </w:tr>
      <w:tr w:rsidR="00B20974" w14:paraId="735544E9" w14:textId="77777777" w:rsidTr="003A0582">
        <w:tc>
          <w:tcPr>
            <w:tcW w:w="5352" w:type="dxa"/>
            <w:vAlign w:val="bottom"/>
            <w:hideMark/>
          </w:tcPr>
          <w:p w14:paraId="77BBB16E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7692BB60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February 2027 or before if needed</w:t>
            </w:r>
          </w:p>
        </w:tc>
        <w:tc>
          <w:tcPr>
            <w:tcW w:w="2304" w:type="dxa"/>
            <w:vAlign w:val="bottom"/>
            <w:hideMark/>
          </w:tcPr>
          <w:p w14:paraId="762B39CC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(date)</w:t>
            </w:r>
          </w:p>
        </w:tc>
      </w:tr>
      <w:tr w:rsidR="00B20974" w14:paraId="423D6370" w14:textId="77777777" w:rsidTr="003A0582">
        <w:tc>
          <w:tcPr>
            <w:tcW w:w="5352" w:type="dxa"/>
            <w:vAlign w:val="bottom"/>
            <w:hideMark/>
          </w:tcPr>
          <w:p w14:paraId="29419DF3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</w:tcPr>
          <w:p w14:paraId="55553E21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B20974" w14:paraId="72171463" w14:textId="77777777" w:rsidTr="003A0582">
        <w:tc>
          <w:tcPr>
            <w:tcW w:w="5352" w:type="dxa"/>
            <w:vAlign w:val="bottom"/>
            <w:hideMark/>
          </w:tcPr>
          <w:p w14:paraId="481C854C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093284A3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K. Elliott</w:t>
            </w:r>
          </w:p>
        </w:tc>
      </w:tr>
      <w:tr w:rsidR="00B20974" w14:paraId="65826A0F" w14:textId="77777777" w:rsidTr="003A0582">
        <w:tc>
          <w:tcPr>
            <w:tcW w:w="5352" w:type="dxa"/>
            <w:vAlign w:val="bottom"/>
            <w:hideMark/>
          </w:tcPr>
          <w:p w14:paraId="7A761C7D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202FD170" w14:textId="77777777" w:rsidR="00B20974" w:rsidRDefault="00B20974" w:rsidP="003A0582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Nominated person/Committee member</w:t>
            </w:r>
          </w:p>
        </w:tc>
      </w:tr>
    </w:tbl>
    <w:p w14:paraId="3F36C577" w14:textId="77777777" w:rsidR="00217FD9" w:rsidRPr="006249E0" w:rsidRDefault="00217FD9" w:rsidP="001D6D9D"/>
    <w:sectPr w:rsidR="00217FD9" w:rsidRPr="006249E0" w:rsidSect="0033680F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31D2" w14:textId="77777777" w:rsidR="00F86D71" w:rsidRDefault="00F86D71" w:rsidP="00842013">
      <w:r>
        <w:separator/>
      </w:r>
    </w:p>
  </w:endnote>
  <w:endnote w:type="continuationSeparator" w:id="0">
    <w:p w14:paraId="566C8D54" w14:textId="77777777" w:rsidR="00F86D71" w:rsidRDefault="00F86D71" w:rsidP="0084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99321"/>
      <w:docPartObj>
        <w:docPartGallery w:val="Page Numbers (Bottom of Page)"/>
        <w:docPartUnique/>
      </w:docPartObj>
    </w:sdtPr>
    <w:sdtEndPr/>
    <w:sdtContent>
      <w:p w14:paraId="1DC14B7E" w14:textId="77777777" w:rsidR="002A09F1" w:rsidRDefault="00306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D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79E350" w14:textId="77777777" w:rsidR="002A09F1" w:rsidRDefault="002A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69F8" w14:textId="77777777" w:rsidR="00F86D71" w:rsidRDefault="00F86D71" w:rsidP="00842013">
      <w:r>
        <w:separator/>
      </w:r>
    </w:p>
  </w:footnote>
  <w:footnote w:type="continuationSeparator" w:id="0">
    <w:p w14:paraId="78A78AF0" w14:textId="77777777" w:rsidR="00F86D71" w:rsidRDefault="00F86D71" w:rsidP="0084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07084180" o:spid="_x0000_i1025" type="#_x0000_t75" style="width:11.25pt;height:10.5pt;visibility:visible;mso-wrap-style:square" o:bullet="t">
        <v:imagedata r:id="rId1" o:title=""/>
      </v:shape>
    </w:pict>
  </w:numPicBullet>
  <w:abstractNum w:abstractNumId="0" w15:restartNumberingAfterBreak="0">
    <w:nsid w:val="04B66E20"/>
    <w:multiLevelType w:val="hybridMultilevel"/>
    <w:tmpl w:val="2E26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216"/>
    <w:multiLevelType w:val="hybridMultilevel"/>
    <w:tmpl w:val="22B03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4597"/>
    <w:multiLevelType w:val="hybridMultilevel"/>
    <w:tmpl w:val="DC32FEAC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6720"/>
    <w:multiLevelType w:val="hybridMultilevel"/>
    <w:tmpl w:val="F038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814ED"/>
    <w:multiLevelType w:val="hybridMultilevel"/>
    <w:tmpl w:val="E2266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61183B"/>
    <w:multiLevelType w:val="hybridMultilevel"/>
    <w:tmpl w:val="68BEB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915152"/>
    <w:multiLevelType w:val="hybridMultilevel"/>
    <w:tmpl w:val="0C1CD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361F3"/>
    <w:multiLevelType w:val="hybridMultilevel"/>
    <w:tmpl w:val="CCCE724A"/>
    <w:lvl w:ilvl="0" w:tplc="DACA1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2692C"/>
    <w:multiLevelType w:val="hybridMultilevel"/>
    <w:tmpl w:val="0876D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6618D"/>
    <w:multiLevelType w:val="hybridMultilevel"/>
    <w:tmpl w:val="42A6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A2422"/>
    <w:multiLevelType w:val="hybridMultilevel"/>
    <w:tmpl w:val="E8F8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84443"/>
    <w:multiLevelType w:val="hybridMultilevel"/>
    <w:tmpl w:val="0B64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48205">
    <w:abstractNumId w:val="3"/>
  </w:num>
  <w:num w:numId="2" w16cid:durableId="1019895109">
    <w:abstractNumId w:val="2"/>
  </w:num>
  <w:num w:numId="3" w16cid:durableId="1894534003">
    <w:abstractNumId w:val="7"/>
  </w:num>
  <w:num w:numId="4" w16cid:durableId="77095052">
    <w:abstractNumId w:val="5"/>
  </w:num>
  <w:num w:numId="5" w16cid:durableId="932931853">
    <w:abstractNumId w:val="11"/>
  </w:num>
  <w:num w:numId="6" w16cid:durableId="1562210555">
    <w:abstractNumId w:val="6"/>
  </w:num>
  <w:num w:numId="7" w16cid:durableId="169873237">
    <w:abstractNumId w:val="0"/>
  </w:num>
  <w:num w:numId="8" w16cid:durableId="541554397">
    <w:abstractNumId w:val="1"/>
  </w:num>
  <w:num w:numId="9" w16cid:durableId="438377520">
    <w:abstractNumId w:val="4"/>
  </w:num>
  <w:num w:numId="10" w16cid:durableId="1962567327">
    <w:abstractNumId w:val="9"/>
  </w:num>
  <w:num w:numId="11" w16cid:durableId="1524829664">
    <w:abstractNumId w:val="8"/>
  </w:num>
  <w:num w:numId="12" w16cid:durableId="913903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13"/>
    <w:rsid w:val="00041887"/>
    <w:rsid w:val="0008664B"/>
    <w:rsid w:val="000965BB"/>
    <w:rsid w:val="00116703"/>
    <w:rsid w:val="00144B68"/>
    <w:rsid w:val="001D6D9D"/>
    <w:rsid w:val="001E21E3"/>
    <w:rsid w:val="00200E43"/>
    <w:rsid w:val="00217FD9"/>
    <w:rsid w:val="00247526"/>
    <w:rsid w:val="00251459"/>
    <w:rsid w:val="00286F53"/>
    <w:rsid w:val="002A09F1"/>
    <w:rsid w:val="002A7B1F"/>
    <w:rsid w:val="002E5751"/>
    <w:rsid w:val="002F7586"/>
    <w:rsid w:val="00306F1A"/>
    <w:rsid w:val="00314C05"/>
    <w:rsid w:val="003232E7"/>
    <w:rsid w:val="0033680F"/>
    <w:rsid w:val="0035541D"/>
    <w:rsid w:val="003A47AD"/>
    <w:rsid w:val="003E4876"/>
    <w:rsid w:val="004506BE"/>
    <w:rsid w:val="004560A4"/>
    <w:rsid w:val="004A6ACD"/>
    <w:rsid w:val="004C1AD0"/>
    <w:rsid w:val="004D5413"/>
    <w:rsid w:val="004E0492"/>
    <w:rsid w:val="00582156"/>
    <w:rsid w:val="00583AD1"/>
    <w:rsid w:val="005919E5"/>
    <w:rsid w:val="005B0183"/>
    <w:rsid w:val="005F3298"/>
    <w:rsid w:val="006249E0"/>
    <w:rsid w:val="0064635F"/>
    <w:rsid w:val="00657FFC"/>
    <w:rsid w:val="006C27BD"/>
    <w:rsid w:val="006C4612"/>
    <w:rsid w:val="00700C47"/>
    <w:rsid w:val="007229C6"/>
    <w:rsid w:val="007268C3"/>
    <w:rsid w:val="00737746"/>
    <w:rsid w:val="00761996"/>
    <w:rsid w:val="007719AA"/>
    <w:rsid w:val="00823414"/>
    <w:rsid w:val="00837FD6"/>
    <w:rsid w:val="00842013"/>
    <w:rsid w:val="00867D40"/>
    <w:rsid w:val="008755AE"/>
    <w:rsid w:val="00880224"/>
    <w:rsid w:val="008A0CAE"/>
    <w:rsid w:val="00977FE6"/>
    <w:rsid w:val="0099032A"/>
    <w:rsid w:val="009B2701"/>
    <w:rsid w:val="009F7F3C"/>
    <w:rsid w:val="00A171FE"/>
    <w:rsid w:val="00A3502F"/>
    <w:rsid w:val="00A57F6F"/>
    <w:rsid w:val="00AB7082"/>
    <w:rsid w:val="00AD08AB"/>
    <w:rsid w:val="00B20974"/>
    <w:rsid w:val="00B22BD6"/>
    <w:rsid w:val="00B95CFB"/>
    <w:rsid w:val="00BB30FA"/>
    <w:rsid w:val="00BC677E"/>
    <w:rsid w:val="00C1594B"/>
    <w:rsid w:val="00C42DC7"/>
    <w:rsid w:val="00C55181"/>
    <w:rsid w:val="00C71666"/>
    <w:rsid w:val="00CE5B4E"/>
    <w:rsid w:val="00D20D8B"/>
    <w:rsid w:val="00DF0A8A"/>
    <w:rsid w:val="00DF59DA"/>
    <w:rsid w:val="00E32A32"/>
    <w:rsid w:val="00EB5369"/>
    <w:rsid w:val="00EE72B3"/>
    <w:rsid w:val="00F04EA4"/>
    <w:rsid w:val="00F74032"/>
    <w:rsid w:val="00F75E51"/>
    <w:rsid w:val="00F86D71"/>
    <w:rsid w:val="00F96DC6"/>
    <w:rsid w:val="00FC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2D1C"/>
  <w15:docId w15:val="{EA1D3419-5AA2-4902-BF61-3DE63CA4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13"/>
  </w:style>
  <w:style w:type="paragraph" w:styleId="Footer">
    <w:name w:val="footer"/>
    <w:basedOn w:val="Normal"/>
    <w:link w:val="FooterChar"/>
    <w:uiPriority w:val="99"/>
    <w:unhideWhenUsed/>
    <w:rsid w:val="00842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13"/>
  </w:style>
  <w:style w:type="paragraph" w:styleId="ListParagraph">
    <w:name w:val="List Paragraph"/>
    <w:basedOn w:val="Normal"/>
    <w:uiPriority w:val="34"/>
    <w:qFormat/>
    <w:rsid w:val="00CE5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6D326-CD76-40F9-B633-9468AE82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Laptop3</dc:creator>
  <cp:lastModifiedBy>Katy Elliott</cp:lastModifiedBy>
  <cp:revision>2</cp:revision>
  <cp:lastPrinted>2023-05-12T12:23:00Z</cp:lastPrinted>
  <dcterms:created xsi:type="dcterms:W3CDTF">2026-02-05T18:32:00Z</dcterms:created>
  <dcterms:modified xsi:type="dcterms:W3CDTF">2026-02-05T18:32:00Z</dcterms:modified>
</cp:coreProperties>
</file>